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Supplementary Table 3</w:t>
      </w:r>
      <w:r>
        <w:rPr>
          <w:rFonts w:hint="eastAsia"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Baseline characteristics of patients who were still in HSPC stage and who had progressed to CRPC stage.</w:t>
      </w:r>
    </w:p>
    <w:tbl>
      <w:tblPr>
        <w:tblStyle w:val="4"/>
        <w:tblW w:w="13543" w:type="dxa"/>
        <w:tblInd w:w="0" w:type="dxa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  <w:gridCol w:w="785"/>
        <w:gridCol w:w="2060"/>
        <w:gridCol w:w="1693"/>
        <w:gridCol w:w="1519"/>
        <w:gridCol w:w="1072"/>
        <w:gridCol w:w="1391"/>
        <w:gridCol w:w="1582"/>
        <w:gridCol w:w="1077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364" w:type="dxa"/>
            <w:tcBorders>
              <w:top w:val="single" w:color="auto" w:sz="8" w:space="0"/>
              <w:bottom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宋体" w:cs="Arial"/>
                <w:b/>
                <w:bCs/>
              </w:rPr>
            </w:pPr>
          </w:p>
        </w:tc>
        <w:tc>
          <w:tcPr>
            <w:tcW w:w="785" w:type="dxa"/>
            <w:tcBorders>
              <w:top w:val="single" w:color="auto" w:sz="8" w:space="0"/>
              <w:bottom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2060" w:type="dxa"/>
            <w:tcBorders>
              <w:top w:val="single" w:color="auto" w:sz="8" w:space="0"/>
              <w:bottom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</w:rPr>
            </w:pPr>
          </w:p>
        </w:tc>
        <w:tc>
          <w:tcPr>
            <w:tcW w:w="4284" w:type="dxa"/>
            <w:gridSpan w:val="3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宋体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24"/>
                <w:szCs w:val="24"/>
              </w:rPr>
              <w:t>HSPC stage</w:t>
            </w:r>
          </w:p>
        </w:tc>
        <w:tc>
          <w:tcPr>
            <w:tcW w:w="4050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sz w:val="24"/>
                <w:szCs w:val="24"/>
              </w:rPr>
              <w:t>CRPC stage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tcBorders>
              <w:top w:val="nil"/>
              <w:bottom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宋体" w:cs="Arial"/>
                <w:b/>
                <w:bCs/>
              </w:rPr>
            </w:pPr>
          </w:p>
        </w:tc>
        <w:tc>
          <w:tcPr>
            <w:tcW w:w="785" w:type="dxa"/>
            <w:tcBorders>
              <w:top w:val="nil"/>
              <w:bottom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2060" w:type="dxa"/>
            <w:tcBorders>
              <w:top w:val="nil"/>
              <w:bottom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Overall (n=221)</w:t>
            </w:r>
          </w:p>
        </w:tc>
        <w:tc>
          <w:tcPr>
            <w:tcW w:w="1693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KMT2C-WT (n=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</w:rPr>
              <w:t>54</w:t>
            </w:r>
            <w:r>
              <w:rPr>
                <w:rFonts w:ascii="Arial" w:hAnsi="Arial" w:eastAsia="Times New Roman" w:cs="Arial"/>
                <w:b/>
                <w:bCs/>
                <w:color w:val="000000"/>
              </w:rPr>
              <w:t>)</w:t>
            </w:r>
          </w:p>
        </w:tc>
        <w:tc>
          <w:tcPr>
            <w:tcW w:w="151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KMT2C-mutated (n=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</w:rPr>
              <w:t>3</w:t>
            </w:r>
            <w:r>
              <w:rPr>
                <w:rFonts w:ascii="Arial" w:hAnsi="Arial" w:eastAsia="Times New Roman" w:cs="Arial"/>
                <w:b/>
                <w:bCs/>
                <w:color w:val="000000"/>
              </w:rPr>
              <w:t>)</w:t>
            </w:r>
          </w:p>
        </w:tc>
        <w:tc>
          <w:tcPr>
            <w:tcW w:w="1072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i/>
                <w:iCs/>
                <w:color w:val="000000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i/>
                <w:iCs/>
                <w:color w:val="000000"/>
              </w:rPr>
            </w:pPr>
          </w:p>
          <w:p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i/>
                <w:iCs/>
                <w:color w:val="000000"/>
              </w:rPr>
              <w:t>p</w:t>
            </w:r>
            <w:r>
              <w:rPr>
                <w:rFonts w:ascii="Arial" w:hAnsi="Arial" w:eastAsia="Times New Roman" w:cs="Arial"/>
                <w:b/>
                <w:bCs/>
                <w:color w:val="000000"/>
              </w:rPr>
              <w:t xml:space="preserve"> value</w:t>
            </w:r>
          </w:p>
        </w:tc>
        <w:tc>
          <w:tcPr>
            <w:tcW w:w="1391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KMT2C-WT (n=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</w:rPr>
              <w:t>151</w:t>
            </w:r>
            <w:r>
              <w:rPr>
                <w:rFonts w:ascii="Arial" w:hAnsi="Arial" w:eastAsia="Times New Roman" w:cs="Arial"/>
                <w:b/>
                <w:bCs/>
                <w:color w:val="000000"/>
              </w:rPr>
              <w:t>)</w:t>
            </w:r>
          </w:p>
        </w:tc>
        <w:tc>
          <w:tcPr>
            <w:tcW w:w="1582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KMT2C-mutated (n=1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</w:rPr>
              <w:t>3</w:t>
            </w:r>
            <w:r>
              <w:rPr>
                <w:rFonts w:ascii="Arial" w:hAnsi="Arial" w:eastAsia="Times New Roman" w:cs="Arial"/>
                <w:b/>
                <w:bCs/>
                <w:color w:val="000000"/>
              </w:rPr>
              <w:t>)</w:t>
            </w:r>
          </w:p>
        </w:tc>
        <w:tc>
          <w:tcPr>
            <w:tcW w:w="107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i/>
                <w:iCs/>
                <w:color w:val="000000"/>
              </w:rPr>
              <w:t>p</w:t>
            </w:r>
            <w:r>
              <w:rPr>
                <w:rFonts w:ascii="Arial" w:hAnsi="Arial" w:eastAsia="Times New Roman" w:cs="Arial"/>
                <w:b/>
                <w:bCs/>
                <w:color w:val="000000"/>
              </w:rPr>
              <w:t xml:space="preserve"> value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149" w:type="dxa"/>
            <w:gridSpan w:val="2"/>
            <w:tcBorders>
              <w:top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 xml:space="preserve">Baseline </w:t>
            </w:r>
            <w:r>
              <w:rPr>
                <w:rFonts w:ascii="Arial" w:hAnsi="Arial" w:eastAsia="等线" w:cs="Arial"/>
                <w:b/>
                <w:bCs/>
                <w:color w:val="000000"/>
              </w:rPr>
              <w:t>PSA (median [IQR])</w:t>
            </w:r>
          </w:p>
        </w:tc>
        <w:tc>
          <w:tcPr>
            <w:tcW w:w="2060" w:type="dxa"/>
            <w:tcBorders>
              <w:top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100.100 [48.000, 183.000]</w:t>
            </w:r>
          </w:p>
        </w:tc>
        <w:tc>
          <w:tcPr>
            <w:tcW w:w="1693" w:type="dxa"/>
            <w:tcBorders>
              <w:top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100.100 [43.098, 214.953]</w:t>
            </w:r>
          </w:p>
        </w:tc>
        <w:tc>
          <w:tcPr>
            <w:tcW w:w="1519" w:type="dxa"/>
            <w:tcBorders>
              <w:top w:val="single" w:color="auto" w:sz="8" w:space="0"/>
            </w:tcBorders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100.100 [92.050, 147.550]</w:t>
            </w:r>
          </w:p>
        </w:tc>
        <w:tc>
          <w:tcPr>
            <w:tcW w:w="1072" w:type="dxa"/>
            <w:tcBorders>
              <w:top w:val="single" w:color="auto" w:sz="8" w:space="0"/>
            </w:tcBorders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0.8857</w:t>
            </w:r>
          </w:p>
        </w:tc>
        <w:tc>
          <w:tcPr>
            <w:tcW w:w="1391" w:type="dxa"/>
            <w:tcBorders>
              <w:top w:val="single" w:color="auto" w:sz="8" w:space="0"/>
            </w:tcBorders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100.100 [49.005, 163.550]</w:t>
            </w:r>
          </w:p>
        </w:tc>
        <w:tc>
          <w:tcPr>
            <w:tcW w:w="1582" w:type="dxa"/>
            <w:tcBorders>
              <w:top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100.100 [85.050, 100.100]</w:t>
            </w:r>
          </w:p>
        </w:tc>
        <w:tc>
          <w:tcPr>
            <w:tcW w:w="1077" w:type="dxa"/>
            <w:tcBorders>
              <w:top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0.9951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Baseline PSA (ng/mL, 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&lt;100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89 (40.27)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17 (31.48)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 (66.67)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0.5292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68 (45.03)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 (15.38)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0.0748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≥100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132 (59.73)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37 (68.52)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 (33.33)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83 (54.97)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11 (84.62)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149" w:type="dxa"/>
            <w:gridSpan w:val="2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</w:rPr>
              <w:t>Age (median [IQR])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69.000 [62.000, 75.000]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69.500 [63.500, 74.750]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62.000 [59.000, 71.000]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0.6547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69.000 [62.000, 75.000]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66.000 [59.000, 71.000]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0.4464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Age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&lt;70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128 (57.92)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33 (61.11)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 (33.33)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0.7263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86 (56.95)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8 (61.54)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0.9773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≥70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93 (42.08)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21 (38.89)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 (66.67)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65 (43.05)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5 (38.46)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De novo metastasis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No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24 (10.86)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(5.56)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19 (12.58)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 (15.38)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Yes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197 (89.14)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51 (94.44)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(100.00)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132 (87.42)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11 (84.62)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</w:rPr>
              <w:t>PSA response to ADT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&lt;50</w:t>
            </w:r>
            <w:r>
              <w:rPr>
                <w:rFonts w:ascii="Arial" w:hAnsi="Arial" w:eastAsia="等线" w:cs="Arial"/>
                <w:b/>
                <w:bCs/>
                <w:color w:val="000000"/>
              </w:rPr>
              <w:t>%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28 (12.67)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4 (7.41)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24 (15.89)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0.2514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≥50</w:t>
            </w:r>
            <w:r>
              <w:rPr>
                <w:rFonts w:ascii="Arial" w:hAnsi="Arial" w:eastAsia="等线" w:cs="Arial"/>
                <w:b/>
                <w:bCs/>
                <w:color w:val="000000"/>
              </w:rPr>
              <w:t>%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193 (87.33)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50 (92.59)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(100.00)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127 (84.11)</w:t>
            </w:r>
          </w:p>
        </w:tc>
        <w:tc>
          <w:tcPr>
            <w:tcW w:w="2659" w:type="dxa"/>
            <w:gridSpan w:val="2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</w:t>
            </w:r>
            <w:r>
              <w:rPr>
                <w:rFonts w:hint="eastAsia" w:ascii="Arial" w:hAnsi="Arial" w:eastAsia="等线" w:cs="Arial"/>
                <w:color w:val="000000"/>
              </w:rPr>
              <w:t>3</w:t>
            </w:r>
            <w:r>
              <w:rPr>
                <w:rFonts w:ascii="Arial" w:hAnsi="Arial" w:eastAsia="等线" w:cs="Arial"/>
                <w:color w:val="000000"/>
              </w:rPr>
              <w:t xml:space="preserve"> (100.00)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ISUP grade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&lt;4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41 (18.55)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13 (24.07)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27 (17.88)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 (7.69)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0.5805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≥4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180 (81.45)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41 (75.93)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(100.00)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0.7945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124 (82.12)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12 (92.31)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</w:rPr>
              <w:t>AR pathway mutations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No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167 (75.57)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48 (88.89)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(100.00)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110 (72.85)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6 (46.15)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0.0869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Yes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54 (24.43)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6 (11.11)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41 (27.15)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7 (53.85)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</w:rPr>
              <w:t>Cell cycle pathway mutations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No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157 (71.04)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40 (74.07)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 (66.67)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107 (70.86)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8 (61.54)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0.6974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Yes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64 (28.96)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14 (25.93)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 (33.33)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44 (29.14)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5 (38.46)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</w:rPr>
              <w:t>DDR pathway mutations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No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169 (76.47)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43 (79.63)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(100.00)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114 (75.50)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9 (69.23)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0.8675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Yes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52 (23.53)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11 (20.37)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0.9055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37 (24.50)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4 (30.77)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</w:rPr>
              <w:t>MAPK pathway mutations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No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195 (88.24)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49 (90.74)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(100.00)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133 (88.08)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10 (76.92)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0.4699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Yes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26 (11.76)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5 (9.26)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18 (11.92)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(23.08)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</w:rPr>
              <w:t>NED pathway mutations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No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209 (94.57)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53 (98.15)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(100.00)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140 (92.72)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13 (100.00)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0.6674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Yes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12 (5.43)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 (1.85)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11 (7.28)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</w:rPr>
              <w:t>PI3K pathway mutations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No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186 (84.16)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53 (98.15)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 (66.67)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0.2032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121 (80.13)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10 (76.92)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Yes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35 (15.84)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 (3.70)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 (33.33)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30 (19.87)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(23.08)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</w:rPr>
              <w:t>WNT pathway mutations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No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196 (88.69)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52 (96.30)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(100.00)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132 (87.42)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9 (69.23)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0.1628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Yes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25 (11.31)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21 (10.24)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19 (12.58)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4 (30.77)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</w:rPr>
              <w:t>Total mutations (%)</w:t>
            </w: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No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94 (42.53)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27 (50.00)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0.2739</w:t>
            </w: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67 (44.37)</w:t>
            </w:r>
          </w:p>
        </w:tc>
        <w:tc>
          <w:tcPr>
            <w:tcW w:w="1582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0 (0.00)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0.0047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2364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 w:eastAsia="等线" w:cs="Arial"/>
                <w:b/>
                <w:bCs/>
                <w:color w:val="000000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</w:rPr>
              <w:t>Yes</w:t>
            </w:r>
          </w:p>
        </w:tc>
        <w:tc>
          <w:tcPr>
            <w:tcW w:w="2060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127 (57.47)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27 (50.00)</w:t>
            </w:r>
          </w:p>
        </w:tc>
        <w:tc>
          <w:tcPr>
            <w:tcW w:w="1519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3 (100.00)</w:t>
            </w:r>
          </w:p>
        </w:tc>
        <w:tc>
          <w:tcPr>
            <w:tcW w:w="1072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</w:p>
        </w:tc>
        <w:tc>
          <w:tcPr>
            <w:tcW w:w="1391" w:type="dxa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hint="eastAsia" w:ascii="Arial" w:hAnsi="Arial" w:eastAsia="等线" w:cs="Arial"/>
                <w:color w:val="000000"/>
              </w:rPr>
              <w:t>84 (55.63)</w:t>
            </w:r>
          </w:p>
        </w:tc>
        <w:tc>
          <w:tcPr>
            <w:tcW w:w="2659" w:type="dxa"/>
            <w:gridSpan w:val="2"/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等线" w:cs="Arial"/>
                <w:color w:val="000000"/>
              </w:rPr>
            </w:pPr>
            <w:r>
              <w:rPr>
                <w:rFonts w:ascii="Arial" w:hAnsi="Arial" w:eastAsia="等线" w:cs="Arial"/>
                <w:color w:val="000000"/>
              </w:rPr>
              <w:t>1</w:t>
            </w:r>
            <w:r>
              <w:rPr>
                <w:rFonts w:hint="eastAsia" w:ascii="Arial" w:hAnsi="Arial" w:eastAsia="等线" w:cs="Arial"/>
                <w:color w:val="000000"/>
              </w:rPr>
              <w:t>3</w:t>
            </w:r>
            <w:r>
              <w:rPr>
                <w:rFonts w:ascii="Arial" w:hAnsi="Arial" w:eastAsia="等线" w:cs="Arial"/>
                <w:color w:val="000000"/>
              </w:rPr>
              <w:t xml:space="preserve"> (100.00)</w:t>
            </w:r>
          </w:p>
        </w:tc>
      </w:tr>
    </w:tbl>
    <w:p>
      <w:pPr>
        <w:rPr>
          <w:rFonts w:ascii="Arial" w:hAnsi="Arial" w:cs="Arial"/>
          <w:color w:val="000000"/>
        </w:rPr>
      </w:pPr>
      <w:r>
        <w:rPr>
          <w:rFonts w:hint="eastAsia" w:ascii="Arial" w:hAnsi="Arial" w:eastAsia="Times New Roman" w:cs="Arial"/>
          <w:color w:val="000000"/>
        </w:rPr>
        <w:t>HSPC: hormone-sensitive prostate cancer</w:t>
      </w:r>
      <w:r>
        <w:rPr>
          <w:rFonts w:hint="eastAsia" w:ascii="Arial" w:hAnsi="Arial" w:eastAsia="宋体" w:cs="Arial"/>
          <w:color w:val="000000"/>
        </w:rPr>
        <w:t>;</w:t>
      </w:r>
      <w:r>
        <w:rPr>
          <w:rFonts w:hint="eastAsia" w:ascii="Arial" w:hAnsi="Arial" w:eastAsia="Times New Roman" w:cs="Arial"/>
          <w:color w:val="000000"/>
        </w:rPr>
        <w:t xml:space="preserve"> CRPC: castration-resistant prostate cancer</w:t>
      </w:r>
      <w:r>
        <w:rPr>
          <w:rFonts w:hint="eastAsia" w:ascii="Arial" w:hAnsi="Arial" w:eastAsia="宋体" w:cs="Arial"/>
          <w:color w:val="000000"/>
        </w:rPr>
        <w:t xml:space="preserve">; </w:t>
      </w:r>
      <w:r>
        <w:rPr>
          <w:rFonts w:ascii="Arial" w:hAnsi="Arial" w:eastAsia="Times New Roman" w:cs="Arial"/>
          <w:color w:val="000000"/>
        </w:rPr>
        <w:t>PSA: prostate-specific antigen;</w:t>
      </w:r>
      <w:r>
        <w:rPr>
          <w:rFonts w:hint="eastAsia"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 xml:space="preserve">ISUP: </w:t>
      </w:r>
      <w:r>
        <w:rPr>
          <w:rFonts w:hint="eastAsia" w:ascii="Arial" w:hAnsi="Arial" w:cs="Arial"/>
        </w:rPr>
        <w:t xml:space="preserve">International Society </w:t>
      </w:r>
      <w:r>
        <w:rPr>
          <w:rFonts w:ascii="Arial" w:hAnsi="Arial" w:cs="Arial"/>
        </w:rPr>
        <w:t>o</w:t>
      </w:r>
      <w:r>
        <w:rPr>
          <w:rFonts w:hint="eastAsia" w:ascii="Arial" w:hAnsi="Arial" w:cs="Arial"/>
        </w:rPr>
        <w:t xml:space="preserve">f Urological </w:t>
      </w:r>
      <w:r>
        <w:rPr>
          <w:rFonts w:ascii="Arial" w:hAnsi="Arial" w:cs="Arial"/>
        </w:rPr>
        <w:t>Pathology</w:t>
      </w:r>
      <w:r>
        <w:rPr>
          <w:rFonts w:hint="eastAsia"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 xml:space="preserve"> </w:t>
      </w:r>
      <w:r>
        <w:rPr>
          <w:rFonts w:hint="eastAsia"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>DT</w:t>
      </w:r>
      <w:r>
        <w:rPr>
          <w:rFonts w:ascii="Arial" w:hAnsi="Arial" w:eastAsia="Times New Roman" w:cs="Arial"/>
          <w:color w:val="000000"/>
        </w:rPr>
        <w:t>: androgen deprivation therapy;</w:t>
      </w:r>
      <w:r>
        <w:rPr>
          <w:rFonts w:hint="eastAsia" w:ascii="Arial" w:hAnsi="Arial" w:eastAsia="宋体" w:cs="Arial"/>
          <w:color w:val="000000"/>
        </w:rPr>
        <w:t xml:space="preserve"> </w:t>
      </w:r>
      <w:r>
        <w:rPr>
          <w:rFonts w:hint="eastAsia"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>R</w:t>
      </w:r>
      <w:r>
        <w:rPr>
          <w:rFonts w:ascii="Arial" w:hAnsi="Arial" w:eastAsia="Times New Roman" w:cs="Arial"/>
          <w:color w:val="000000"/>
        </w:rPr>
        <w:t>: androgen receptor;</w:t>
      </w:r>
      <w:r>
        <w:rPr>
          <w:rFonts w:hint="eastAsia" w:ascii="Arial" w:hAnsi="Arial" w:cs="Arial"/>
          <w:color w:val="000000"/>
        </w:rPr>
        <w:t xml:space="preserve"> D</w:t>
      </w:r>
      <w:r>
        <w:rPr>
          <w:rFonts w:ascii="Arial" w:hAnsi="Arial" w:cs="Arial"/>
          <w:color w:val="000000"/>
        </w:rPr>
        <w:t>DR</w:t>
      </w:r>
      <w:r>
        <w:rPr>
          <w:rFonts w:ascii="Arial" w:hAnsi="Arial" w:eastAsia="Times New Roman" w:cs="Arial"/>
          <w:color w:val="000000"/>
        </w:rPr>
        <w:t>: DNA damage response;</w:t>
      </w:r>
      <w:r>
        <w:rPr>
          <w:rFonts w:hint="eastAsia" w:ascii="Arial" w:hAnsi="Arial" w:cs="Arial"/>
          <w:color w:val="000000"/>
        </w:rPr>
        <w:t xml:space="preserve"> M</w:t>
      </w:r>
      <w:r>
        <w:rPr>
          <w:rFonts w:ascii="Arial" w:hAnsi="Arial" w:cs="Arial"/>
          <w:color w:val="000000"/>
        </w:rPr>
        <w:t>APK</w:t>
      </w:r>
      <w:r>
        <w:rPr>
          <w:rFonts w:ascii="Arial" w:hAnsi="Arial" w:eastAsia="Times New Roman" w:cs="Arial"/>
          <w:color w:val="000000"/>
        </w:rPr>
        <w:t>: mitogen-activated protein kinase;</w:t>
      </w:r>
      <w:r>
        <w:rPr>
          <w:rFonts w:hint="eastAsia" w:ascii="Arial" w:hAnsi="Arial" w:cs="Arial"/>
          <w:color w:val="000000"/>
        </w:rPr>
        <w:t xml:space="preserve"> N</w:t>
      </w:r>
      <w:r>
        <w:rPr>
          <w:rFonts w:ascii="Arial" w:hAnsi="Arial" w:cs="Arial"/>
          <w:color w:val="000000"/>
        </w:rPr>
        <w:t>ED</w:t>
      </w:r>
      <w:r>
        <w:rPr>
          <w:rFonts w:ascii="Arial" w:hAnsi="Arial" w:eastAsia="Times New Roman" w:cs="Arial"/>
          <w:color w:val="000000"/>
        </w:rPr>
        <w:t>: neuroendocrine differentiation;</w:t>
      </w:r>
      <w:r>
        <w:rPr>
          <w:rFonts w:hint="eastAsia" w:ascii="Arial" w:hAnsi="Arial" w:cs="Arial"/>
          <w:color w:val="000000"/>
        </w:rPr>
        <w:t xml:space="preserve"> P</w:t>
      </w:r>
      <w:r>
        <w:rPr>
          <w:rFonts w:ascii="Arial" w:hAnsi="Arial" w:cs="Arial"/>
          <w:color w:val="000000"/>
        </w:rPr>
        <w:t>I3K</w:t>
      </w:r>
      <w:r>
        <w:rPr>
          <w:rFonts w:ascii="Arial" w:hAnsi="Arial" w:eastAsia="Times New Roman" w:cs="Arial"/>
          <w:color w:val="000000"/>
        </w:rPr>
        <w:t>: phosphatidylinositol 3-kinase;</w:t>
      </w:r>
      <w:r>
        <w:rPr>
          <w:rFonts w:hint="eastAsia"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IQR: interquartile range; WT: wild type.</w:t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0MzQzMjI1sjSzNLZQ0lEKTi0uzszPAykwrgUAZbM53iwAAAA="/>
    <w:docVar w:name="commondata" w:val="eyJoZGlkIjoiYzZkNzQ4ZWFiZmQ4NTRhOWRkZTk3YTMwMjlmMmZhYmUifQ=="/>
  </w:docVars>
  <w:rsids>
    <w:rsidRoot w:val="00FC5775"/>
    <w:rsid w:val="00077925"/>
    <w:rsid w:val="000C7436"/>
    <w:rsid w:val="001A3EF2"/>
    <w:rsid w:val="001C6770"/>
    <w:rsid w:val="0024546E"/>
    <w:rsid w:val="002C76D6"/>
    <w:rsid w:val="00400EB9"/>
    <w:rsid w:val="0040148A"/>
    <w:rsid w:val="00425CB1"/>
    <w:rsid w:val="0048605D"/>
    <w:rsid w:val="004D509A"/>
    <w:rsid w:val="004E72BA"/>
    <w:rsid w:val="005D0F82"/>
    <w:rsid w:val="00625E5A"/>
    <w:rsid w:val="00626966"/>
    <w:rsid w:val="00645C20"/>
    <w:rsid w:val="00655519"/>
    <w:rsid w:val="00705FF0"/>
    <w:rsid w:val="0075128A"/>
    <w:rsid w:val="00793433"/>
    <w:rsid w:val="00816BAB"/>
    <w:rsid w:val="00891F10"/>
    <w:rsid w:val="008E0849"/>
    <w:rsid w:val="009023E3"/>
    <w:rsid w:val="00914DB9"/>
    <w:rsid w:val="00921E29"/>
    <w:rsid w:val="00953904"/>
    <w:rsid w:val="00984507"/>
    <w:rsid w:val="009B1D59"/>
    <w:rsid w:val="00A77088"/>
    <w:rsid w:val="00AB1C7D"/>
    <w:rsid w:val="00AD6E79"/>
    <w:rsid w:val="00B6046B"/>
    <w:rsid w:val="00CB5888"/>
    <w:rsid w:val="00D45030"/>
    <w:rsid w:val="00D750D5"/>
    <w:rsid w:val="00D963FD"/>
    <w:rsid w:val="00DE5CE1"/>
    <w:rsid w:val="00DF0BC4"/>
    <w:rsid w:val="00E956D1"/>
    <w:rsid w:val="00F44F47"/>
    <w:rsid w:val="00FC5775"/>
    <w:rsid w:val="00FD2298"/>
    <w:rsid w:val="0C193F52"/>
    <w:rsid w:val="2204539A"/>
    <w:rsid w:val="3AC461CD"/>
    <w:rsid w:val="3FC06C6E"/>
    <w:rsid w:val="4CC006D1"/>
    <w:rsid w:val="519E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NKI-AVL</Company>
  <Pages>2</Pages>
  <Words>451</Words>
  <Characters>2576</Characters>
  <Lines>21</Lines>
  <Paragraphs>6</Paragraphs>
  <TotalTime>9</TotalTime>
  <ScaleCrop>false</ScaleCrop>
  <LinksUpToDate>false</LinksUpToDate>
  <CharactersWithSpaces>3021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2022-05-29T09:39:00Z</dcterms:created>
  <dc:creator>s.zhu</dc:creator>
  <cp:lastModifiedBy>Daisy</cp:lastModifiedBy>
  <dcterms:modified xsi:type="dcterms:W3CDTF">2023-05-22T05:56:00Z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EB836F516D5C492CA71587E104E83BB8</vt:lpwstr>
  </property>
</Properties>
</file>